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1C088B8" w:rsidR="005053AB" w:rsidRPr="00862CFC" w:rsidRDefault="00C61FF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249BB6E" w:rsidR="005053AB" w:rsidRPr="00862CFC" w:rsidRDefault="00C61FF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 DE OPERACIONES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1A85AD5" w:rsidR="005053AB" w:rsidRPr="00862CFC" w:rsidRDefault="00C61FF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AGO-DIC17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2B15834" w:rsidR="005053AB" w:rsidRPr="00862CFC" w:rsidRDefault="00C61FF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ADD-1025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891668E" w:rsidR="005053AB" w:rsidRPr="00862CFC" w:rsidRDefault="00C61FF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996AF51" w:rsidR="005053AB" w:rsidRPr="00862CFC" w:rsidRDefault="00C61FF6" w:rsidP="00C61FF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En esta asignatura se posibilita en  el alumno el desarrollo y evaluación  de modelos que le permitan responder  de  una  manera  rápida, efectiva  y  apropiada a  la dinámica de  las organizaciones y el desarrollo tecnológico. El  futuro  Ingeniero  en  Administración  deberá apoyarse  en  los  métodos  de  investigación  de operaciones  para  analizar,  modelar  y  mejorar  los  sistemas  productivos  en  un  enfoque cuantitativo  para  la  toma  de  decisiones  en  las  organizaciones  que  deseen  ser  más competitivas.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54C8CD86" w14:textId="77777777" w:rsidR="00C61FF6" w:rsidRPr="00C61FF6" w:rsidRDefault="00C61FF6" w:rsidP="00C61FF6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 xml:space="preserve">Se propone que el enfoque de esta asignatura sea práctico ya que su contenido puede ser aplicado  en  situaciones  reales  para  analizar,  modelar  y  mejorar  procesos  productivos  de bienes y servicios, así mismo, se recomienda incorporar a los alumnos en los laboratorios o incorporar  visitas  industriales  que  le  permitan  analizar  y  obtener  datos  para  darles  un  tratamiento cuantitativo para la toma de decisiones. Se  recomienda  el  uso  de  Software  como  Tora,  Lindo,  </w:t>
            </w:r>
            <w:proofErr w:type="spellStart"/>
            <w:r w:rsidRPr="00C61FF6">
              <w:rPr>
                <w:rFonts w:ascii="Arial" w:hAnsi="Arial" w:cs="Arial"/>
                <w:szCs w:val="20"/>
              </w:rPr>
              <w:t>Promodel</w:t>
            </w:r>
            <w:proofErr w:type="spellEnd"/>
            <w:r w:rsidRPr="00C61FF6">
              <w:rPr>
                <w:rFonts w:ascii="Arial" w:hAnsi="Arial" w:cs="Arial"/>
                <w:szCs w:val="20"/>
              </w:rPr>
              <w:t xml:space="preserve">,  </w:t>
            </w:r>
            <w:proofErr w:type="spellStart"/>
            <w:r w:rsidRPr="00C61FF6">
              <w:rPr>
                <w:rFonts w:ascii="Arial" w:hAnsi="Arial" w:cs="Arial"/>
                <w:szCs w:val="20"/>
              </w:rPr>
              <w:t>Technomatix</w:t>
            </w:r>
            <w:proofErr w:type="spellEnd"/>
            <w:r w:rsidRPr="00C61FF6">
              <w:rPr>
                <w:rFonts w:ascii="Arial" w:hAnsi="Arial" w:cs="Arial"/>
                <w:szCs w:val="20"/>
              </w:rPr>
              <w:t xml:space="preserve">  como herramientas para el modelado de todo tipo de problemas.</w:t>
            </w:r>
          </w:p>
          <w:p w14:paraId="36816E30" w14:textId="77777777" w:rsidR="00C61FF6" w:rsidRPr="00C61FF6" w:rsidRDefault="00C61FF6" w:rsidP="00C61FF6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En  la  primera  unidad se  trata  la  introducción  a  la  investigación  de  operaciones,  su importancia y los problemas tipos que se resuelven con las técnicas que se verán durante el curso.</w:t>
            </w:r>
          </w:p>
          <w:p w14:paraId="1E6CFF7B" w14:textId="77777777" w:rsidR="00C61FF6" w:rsidRPr="00C61FF6" w:rsidRDefault="00C61FF6" w:rsidP="00C61FF6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En la segunda unidad se tratan los métodos y técnicas de la programación lineal así como la importancia de la interpretación de los resultados.</w:t>
            </w:r>
          </w:p>
          <w:p w14:paraId="5691D591" w14:textId="77777777" w:rsidR="00C61FF6" w:rsidRPr="00C61FF6" w:rsidRDefault="00C61FF6" w:rsidP="00C61FF6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En  la  tercera  unidad  se  ve  la  importancia  de  la  asignación  y  el  transporte  y  se  tratan  las técnicas  para  resolver  problemas  tipo  y  se  recomienda  simular  situaciones  reales  de  este tipo.</w:t>
            </w:r>
          </w:p>
          <w:p w14:paraId="33BB0B3F" w14:textId="77777777" w:rsidR="00C61FF6" w:rsidRPr="00C61FF6" w:rsidRDefault="00C61FF6" w:rsidP="00C61FF6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En  la  cuarta  unidad  la  teoría  de  decisiones  toma  un  papel  importante  ya  que  por  su naturaleza el alumno entenderá las técnicas y metodologías para la toma de decisiones en los diversos sectores.</w:t>
            </w:r>
          </w:p>
          <w:p w14:paraId="29AB351F" w14:textId="77777777" w:rsidR="00C61FF6" w:rsidRPr="00C61FF6" w:rsidRDefault="00C61FF6" w:rsidP="00C61FF6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La quinta unidad  trata la teoría de colas o modelos de espera, que tienen un gran impacto en  todas  las  organizaciones  y  que  siempre  buscan  innovar  en  el  servicio  o  en  tiempos  de entrega, la simulación juega un papel muy importante.</w:t>
            </w:r>
          </w:p>
          <w:p w14:paraId="1D42478C" w14:textId="2821B9CF" w:rsidR="005053AB" w:rsidRPr="00862CFC" w:rsidRDefault="00C61FF6" w:rsidP="00C61FF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La sexta unidad trata los métodos y técnicas de la optimización de redes.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FFF3DB8" w:rsidR="005053AB" w:rsidRPr="00862CFC" w:rsidRDefault="00C61FF6" w:rsidP="00C61FF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1FF6">
              <w:rPr>
                <w:rFonts w:ascii="Arial" w:hAnsi="Arial" w:cs="Arial"/>
                <w:sz w:val="20"/>
                <w:szCs w:val="20"/>
              </w:rPr>
              <w:t>Aplicar  las  teorías,  herramientas  y  métodos cuantitativos   para   plantear,   modelar y resolver problemas propios de las operaciones  de una  organización,  utilizando el  razonamiento  matemático,  la  lógica,  y  los programas  computacionales  para  optimizar los    procesos productivos    de    bienes    y servicios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DEFC8C8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2F6941E" w:rsidR="005053AB" w:rsidRPr="00862CFC" w:rsidRDefault="00C61FF6" w:rsidP="00C61FF6">
            <w:pPr>
              <w:pStyle w:val="Sinespaciado"/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D7CD62D" w:rsidR="005053AB" w:rsidRPr="00862CFC" w:rsidRDefault="00C61FF6" w:rsidP="00C61FF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Conocer   el   concepto   del   método      simplex y su aplicación.  Conocer  el  concepto  del  método    de  doble fase y su aplicación.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0D7CA45" w14:textId="77777777" w:rsidR="00C61FF6" w:rsidRPr="00C61FF6" w:rsidRDefault="00C61FF6" w:rsidP="00C61FF6">
            <w:pPr>
              <w:pStyle w:val="Sinespaciado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 xml:space="preserve">2.1 Teoría del método Simplex.  </w:t>
            </w:r>
          </w:p>
          <w:p w14:paraId="31777FF3" w14:textId="77777777" w:rsidR="00C61FF6" w:rsidRPr="00C61FF6" w:rsidRDefault="00C61FF6" w:rsidP="00C61FF6">
            <w:pPr>
              <w:pStyle w:val="Sinespaciado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 xml:space="preserve">2.2 Forma tabular del método Simplex.  </w:t>
            </w:r>
          </w:p>
          <w:p w14:paraId="507460AC" w14:textId="77777777" w:rsidR="00C61FF6" w:rsidRPr="00C61FF6" w:rsidRDefault="00C61FF6" w:rsidP="00C61FF6">
            <w:pPr>
              <w:pStyle w:val="Sinespaciado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 xml:space="preserve">2.3 El método de las dos fases.  </w:t>
            </w:r>
          </w:p>
          <w:p w14:paraId="1BAD86B2" w14:textId="77777777" w:rsidR="00C61FF6" w:rsidRPr="00C61FF6" w:rsidRDefault="00C61FF6" w:rsidP="00C61FF6">
            <w:pPr>
              <w:pStyle w:val="Sinespaciado"/>
              <w:rPr>
                <w:rFonts w:ascii="Arial" w:hAnsi="Arial" w:cs="Arial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 xml:space="preserve">2.4 Casos especiales </w:t>
            </w:r>
          </w:p>
          <w:p w14:paraId="6ED640BE" w14:textId="6B1516D4" w:rsidR="005053AB" w:rsidRPr="00862CFC" w:rsidRDefault="00C61FF6" w:rsidP="00C61F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61FF6">
              <w:rPr>
                <w:rFonts w:ascii="Arial" w:hAnsi="Arial" w:cs="Arial"/>
                <w:szCs w:val="20"/>
              </w:rPr>
              <w:t>2.5 Uso de software</w:t>
            </w:r>
          </w:p>
        </w:tc>
        <w:tc>
          <w:tcPr>
            <w:tcW w:w="2599" w:type="dxa"/>
          </w:tcPr>
          <w:p w14:paraId="0EBBFA8E" w14:textId="22070D3A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Realizar una investigación documental acerca de los métodos gráfico, simplex y dual como sistemas de optimización.</w:t>
            </w:r>
          </w:p>
          <w:p w14:paraId="549E591F" w14:textId="185BF6BD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Aplicar estos métodos de solución en problemas previamente tratados en la unidad  anterior.</w:t>
            </w:r>
          </w:p>
          <w:p w14:paraId="091D0991" w14:textId="346E609B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Utilizar un software de aplicación para la solución de problemas bajo estos métodos.</w:t>
            </w:r>
          </w:p>
          <w:p w14:paraId="4B071FC6" w14:textId="1C01C488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Realizar interpretaciones acerca de las soluciones y discutirlas.</w:t>
            </w:r>
          </w:p>
          <w:p w14:paraId="29B3C389" w14:textId="6A46E979" w:rsidR="005053AB" w:rsidRPr="00862CFC" w:rsidRDefault="006148E9" w:rsidP="006148E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Comparar entre alumnos sus conclusiones.</w:t>
            </w:r>
          </w:p>
        </w:tc>
        <w:tc>
          <w:tcPr>
            <w:tcW w:w="2599" w:type="dxa"/>
          </w:tcPr>
          <w:p w14:paraId="0A7CF565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Investigar a quien se debe la aportación del método simplex y sus pasos. </w:t>
            </w:r>
          </w:p>
          <w:p w14:paraId="76DEEB2C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Discutir los pasos del método simplex. </w:t>
            </w:r>
          </w:p>
          <w:p w14:paraId="60F0E743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•Identificar las variables de entrada y salida </w:t>
            </w:r>
          </w:p>
          <w:p w14:paraId="14E4E9B5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Aplicar   las  operaciones   elementales   de   renglón  y  columna  usando  el  algoritmo  de  </w:t>
            </w:r>
          </w:p>
          <w:p w14:paraId="2CE67B9A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Gauss-</w:t>
            </w:r>
            <w:proofErr w:type="spellStart"/>
            <w:r w:rsidRPr="006148E9">
              <w:rPr>
                <w:rFonts w:ascii="Arial" w:hAnsi="Arial" w:cs="Arial"/>
                <w:szCs w:val="20"/>
              </w:rPr>
              <w:t>Jordan</w:t>
            </w:r>
            <w:proofErr w:type="spellEnd"/>
            <w:r w:rsidRPr="006148E9">
              <w:rPr>
                <w:rFonts w:ascii="Arial" w:hAnsi="Arial" w:cs="Arial"/>
                <w:szCs w:val="20"/>
              </w:rPr>
              <w:t xml:space="preserve">. </w:t>
            </w:r>
          </w:p>
          <w:p w14:paraId="7AF21F46" w14:textId="404E3999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Elaborar  ejercic</w:t>
            </w:r>
            <w:r>
              <w:rPr>
                <w:rFonts w:ascii="Arial" w:hAnsi="Arial" w:cs="Arial"/>
                <w:szCs w:val="20"/>
              </w:rPr>
              <w:t xml:space="preserve">ios  del  método  simplex  en  </w:t>
            </w:r>
            <w:r w:rsidRPr="006148E9">
              <w:rPr>
                <w:rFonts w:ascii="Arial" w:hAnsi="Arial" w:cs="Arial"/>
                <w:szCs w:val="20"/>
              </w:rPr>
              <w:t xml:space="preserve">equipo. </w:t>
            </w:r>
          </w:p>
          <w:p w14:paraId="35A6C5E1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Reconocer   los   tipos   de   soluciones   del   </w:t>
            </w:r>
          </w:p>
          <w:p w14:paraId="5A020F8B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método  simplex  (no  acotada,  sin  solución,  </w:t>
            </w:r>
          </w:p>
          <w:p w14:paraId="1C1B3A4A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proofErr w:type="gramStart"/>
            <w:r w:rsidRPr="006148E9">
              <w:rPr>
                <w:rFonts w:ascii="Arial" w:hAnsi="Arial" w:cs="Arial"/>
                <w:szCs w:val="20"/>
              </w:rPr>
              <w:t>múltiple</w:t>
            </w:r>
            <w:proofErr w:type="gramEnd"/>
            <w:r w:rsidRPr="006148E9">
              <w:rPr>
                <w:rFonts w:ascii="Arial" w:hAnsi="Arial" w:cs="Arial"/>
                <w:szCs w:val="20"/>
              </w:rPr>
              <w:t xml:space="preserve">, degenerada, etc.). </w:t>
            </w:r>
          </w:p>
          <w:p w14:paraId="5B97E6D9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lastRenderedPageBreak/>
              <w:t xml:space="preserve">• Investigar  los  pasos  del  método  de  doble  fase. </w:t>
            </w:r>
          </w:p>
          <w:p w14:paraId="6D7FF4FC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Discutir los pasos del método de doble fase. </w:t>
            </w:r>
          </w:p>
          <w:p w14:paraId="60E665CD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Elaborar ejercicios del método de doble fase en equipo. </w:t>
            </w:r>
          </w:p>
          <w:p w14:paraId="01DC45DD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Reconocer   los   tipos   de   soluciones   del  método   de   doble   fase   (no   acotada,   sin   solución, múltiple, degenerada, etc.). </w:t>
            </w:r>
          </w:p>
          <w:p w14:paraId="7A70E156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Investigar    y  analizar  las  características  de  uso de cada uno de los métodos. </w:t>
            </w:r>
          </w:p>
          <w:p w14:paraId="23B19B6C" w14:textId="578186F8" w:rsidR="005053AB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Comparar  los  métodos  de  optimización  de  modelos lineales.</w:t>
            </w:r>
          </w:p>
        </w:tc>
        <w:tc>
          <w:tcPr>
            <w:tcW w:w="2599" w:type="dxa"/>
          </w:tcPr>
          <w:p w14:paraId="53BF2D0B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lastRenderedPageBreak/>
              <w:t>Competencias instrumentales</w:t>
            </w:r>
          </w:p>
          <w:p w14:paraId="682FCF64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Capacidad de </w:t>
            </w:r>
          </w:p>
          <w:p w14:paraId="0D342BB6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análisis y síntesis</w:t>
            </w:r>
          </w:p>
          <w:p w14:paraId="257DACAD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Capacidad de organizar y planificar</w:t>
            </w:r>
          </w:p>
          <w:p w14:paraId="61562E3B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Habilidades básicas de manejo de la computadora</w:t>
            </w:r>
          </w:p>
          <w:p w14:paraId="42386EEA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Habilidad para buscar y analizar información proveniente de fuentes </w:t>
            </w:r>
          </w:p>
          <w:p w14:paraId="0A03ECEA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diversas</w:t>
            </w:r>
          </w:p>
          <w:p w14:paraId="53A481AE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Solución de problemas</w:t>
            </w:r>
          </w:p>
          <w:p w14:paraId="690FE4A6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Toma de decisiones.</w:t>
            </w:r>
          </w:p>
          <w:p w14:paraId="21C3987C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Competencias interpersonales</w:t>
            </w:r>
          </w:p>
          <w:p w14:paraId="67BDA144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Capacidad crítica y autocrítica</w:t>
            </w:r>
          </w:p>
          <w:p w14:paraId="70E08DD5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Trabajo en equipo</w:t>
            </w:r>
          </w:p>
          <w:p w14:paraId="71AE264D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Habilidades interpersonales</w:t>
            </w:r>
          </w:p>
          <w:p w14:paraId="410056FA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Capacidad de comunicarse con </w:t>
            </w:r>
          </w:p>
          <w:p w14:paraId="45158A2A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lastRenderedPageBreak/>
              <w:t>profesionales de otras áreas</w:t>
            </w:r>
          </w:p>
          <w:p w14:paraId="666242D3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Compromiso ético</w:t>
            </w:r>
          </w:p>
          <w:p w14:paraId="62AA8320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Competencias sistémicas </w:t>
            </w:r>
          </w:p>
          <w:p w14:paraId="427540BC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Capacidad de aplicar los conocimientos en la práctica</w:t>
            </w:r>
          </w:p>
          <w:p w14:paraId="27414B88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Habilidad de planificar como un todo y diseñar nuevos sistemas</w:t>
            </w:r>
          </w:p>
          <w:p w14:paraId="0EFB7514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Habilidades de investigación</w:t>
            </w:r>
          </w:p>
          <w:p w14:paraId="5FC73D7B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Capacidad de aprender</w:t>
            </w:r>
          </w:p>
          <w:p w14:paraId="798E80E1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Capacidad de generar nuevas ideas </w:t>
            </w:r>
          </w:p>
          <w:p w14:paraId="6AF338D6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(creatividad)</w:t>
            </w:r>
          </w:p>
          <w:p w14:paraId="0FD868C0" w14:textId="77777777" w:rsidR="006148E9" w:rsidRPr="006148E9" w:rsidRDefault="006148E9" w:rsidP="006148E9">
            <w:pPr>
              <w:pStyle w:val="Sinespaciado"/>
              <w:jc w:val="both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Liderazgo </w:t>
            </w:r>
          </w:p>
          <w:p w14:paraId="3B81E98E" w14:textId="7C373CBA" w:rsidR="005053AB" w:rsidRPr="00862CFC" w:rsidRDefault="006148E9" w:rsidP="006148E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Habilidad para trabajar en forma autónoma</w:t>
            </w:r>
          </w:p>
        </w:tc>
        <w:tc>
          <w:tcPr>
            <w:tcW w:w="2600" w:type="dxa"/>
          </w:tcPr>
          <w:p w14:paraId="57198BE6" w14:textId="1C23C420" w:rsidR="005053AB" w:rsidRPr="00862CFC" w:rsidRDefault="006148E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2-3-5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148E9" w:rsidRPr="00862CFC" w14:paraId="73C917D9" w14:textId="77777777" w:rsidTr="005053AB">
        <w:tc>
          <w:tcPr>
            <w:tcW w:w="6498" w:type="dxa"/>
          </w:tcPr>
          <w:p w14:paraId="3C31DC2B" w14:textId="72E9701E" w:rsidR="006148E9" w:rsidRPr="00233468" w:rsidRDefault="006148E9" w:rsidP="006148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Conocimiento  y comprensión de los modelos de la programación lineal</w:t>
            </w:r>
          </w:p>
        </w:tc>
        <w:tc>
          <w:tcPr>
            <w:tcW w:w="6498" w:type="dxa"/>
          </w:tcPr>
          <w:p w14:paraId="1E770817" w14:textId="282E9D08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6148E9" w:rsidRPr="00862CFC" w14:paraId="7AE34E6B" w14:textId="77777777" w:rsidTr="005053AB">
        <w:tc>
          <w:tcPr>
            <w:tcW w:w="6498" w:type="dxa"/>
          </w:tcPr>
          <w:p w14:paraId="4457C936" w14:textId="2C3D6234" w:rsidR="006148E9" w:rsidRPr="00233468" w:rsidRDefault="006148E9" w:rsidP="006148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Aplicación de los métodos simplex y dual. </w:t>
            </w:r>
          </w:p>
        </w:tc>
        <w:tc>
          <w:tcPr>
            <w:tcW w:w="6498" w:type="dxa"/>
          </w:tcPr>
          <w:p w14:paraId="76CEE991" w14:textId="1EC78F79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6148E9" w:rsidRPr="00862CFC" w14:paraId="01F477F1" w14:textId="77777777" w:rsidTr="005053AB">
        <w:tc>
          <w:tcPr>
            <w:tcW w:w="6498" w:type="dxa"/>
          </w:tcPr>
          <w:p w14:paraId="4E13977A" w14:textId="73D3C72B" w:rsidR="006148E9" w:rsidRPr="00233468" w:rsidRDefault="006148E9" w:rsidP="006148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Formulación de la programación lineal. </w:t>
            </w:r>
          </w:p>
        </w:tc>
        <w:tc>
          <w:tcPr>
            <w:tcW w:w="6498" w:type="dxa"/>
          </w:tcPr>
          <w:p w14:paraId="60A70194" w14:textId="3E052463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148E9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4174BE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conoce las características y comprensión de los modelos de programación línea. </w:t>
            </w:r>
          </w:p>
        </w:tc>
        <w:tc>
          <w:tcPr>
            <w:tcW w:w="3249" w:type="dxa"/>
          </w:tcPr>
          <w:p w14:paraId="2E6C06C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148E9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65E9AF76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obtiene el 90% de los indicadores de alcance </w:t>
            </w:r>
          </w:p>
        </w:tc>
        <w:tc>
          <w:tcPr>
            <w:tcW w:w="3249" w:type="dxa"/>
          </w:tcPr>
          <w:p w14:paraId="0C512991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148E9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0FD3EC6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obtiene 80% de los indicadores de alcance</w:t>
            </w:r>
          </w:p>
        </w:tc>
        <w:tc>
          <w:tcPr>
            <w:tcW w:w="3249" w:type="dxa"/>
          </w:tcPr>
          <w:p w14:paraId="342D9294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148E9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E237FC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tiene cierta dificultad para la formulación de métodos simplex y dual. </w:t>
            </w:r>
          </w:p>
        </w:tc>
        <w:tc>
          <w:tcPr>
            <w:tcW w:w="3249" w:type="dxa"/>
          </w:tcPr>
          <w:p w14:paraId="4C24E621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148E9" w:rsidRPr="00862CFC" w14:paraId="7DB6940C" w14:textId="77777777" w:rsidTr="00206F1D">
        <w:tc>
          <w:tcPr>
            <w:tcW w:w="3249" w:type="dxa"/>
          </w:tcPr>
          <w:p w14:paraId="34D87226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17C883D2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satisface los indicadores</w:t>
            </w:r>
          </w:p>
        </w:tc>
        <w:tc>
          <w:tcPr>
            <w:tcW w:w="3249" w:type="dxa"/>
          </w:tcPr>
          <w:p w14:paraId="6F3AF4F4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11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"/>
        <w:gridCol w:w="3894"/>
        <w:gridCol w:w="851"/>
        <w:gridCol w:w="75"/>
        <w:gridCol w:w="917"/>
        <w:gridCol w:w="75"/>
        <w:gridCol w:w="776"/>
        <w:gridCol w:w="75"/>
        <w:gridCol w:w="775"/>
        <w:gridCol w:w="75"/>
        <w:gridCol w:w="634"/>
        <w:gridCol w:w="75"/>
        <w:gridCol w:w="917"/>
        <w:gridCol w:w="75"/>
        <w:gridCol w:w="3752"/>
        <w:gridCol w:w="75"/>
      </w:tblGrid>
      <w:tr w:rsidR="00106009" w:rsidRPr="00106009" w14:paraId="04DF20B8" w14:textId="77777777" w:rsidTr="006148E9">
        <w:trPr>
          <w:gridAfter w:val="1"/>
          <w:wAfter w:w="75" w:type="dxa"/>
          <w:trHeight w:val="290"/>
        </w:trPr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6148E9">
        <w:trPr>
          <w:gridAfter w:val="1"/>
          <w:wAfter w:w="75" w:type="dxa"/>
          <w:trHeight w:val="290"/>
        </w:trPr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148E9" w:rsidRPr="00106009" w14:paraId="41CC9F16" w14:textId="77777777" w:rsidTr="006148E9">
        <w:trPr>
          <w:gridAfter w:val="1"/>
          <w:wAfter w:w="75" w:type="dxa"/>
          <w:trHeight w:val="29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6EE3C6B4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34AD77C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59397FB2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0DE4ACBA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18C325FA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194A976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6148E9" w:rsidRPr="00862CFC" w14:paraId="2E9DED6C" w14:textId="77777777" w:rsidTr="006148E9">
        <w:trPr>
          <w:gridAfter w:val="1"/>
          <w:wAfter w:w="75" w:type="dxa"/>
          <w:trHeight w:val="29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0F35CBD8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Tareas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1DD9C4E2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4662DA68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5961AC7C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322EFAF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E51CFDC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Revisar cuaderno las tareas</w:t>
            </w:r>
          </w:p>
        </w:tc>
      </w:tr>
      <w:tr w:rsidR="006148E9" w:rsidRPr="00862CFC" w14:paraId="219D278F" w14:textId="77777777" w:rsidTr="006148E9">
        <w:trPr>
          <w:gridAfter w:val="1"/>
          <w:wAfter w:w="75" w:type="dxa"/>
          <w:trHeight w:val="290"/>
        </w:trPr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63A0091B" w:rsidR="006148E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Practica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D8A3704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0A6D3EA4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C08D72C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A33724D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D3D1752" w:rsidR="006148E9" w:rsidRPr="00862CFC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Formulación de los métodos simplex y dual. </w:t>
            </w:r>
          </w:p>
        </w:tc>
      </w:tr>
      <w:tr w:rsidR="006148E9" w:rsidRPr="00106009" w14:paraId="6AD0B3E1" w14:textId="77777777" w:rsidTr="006148E9">
        <w:trPr>
          <w:gridAfter w:val="1"/>
          <w:wAfter w:w="75" w:type="dxa"/>
          <w:trHeight w:val="2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D3A8" w14:textId="0595EBF2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Asistencia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3895B55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781C377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3834822D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5172B8EF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392D98B1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Pasar lista diaria</w:t>
            </w:r>
          </w:p>
        </w:tc>
      </w:tr>
      <w:tr w:rsidR="006148E9" w:rsidRPr="00106009" w14:paraId="55D6ED28" w14:textId="77777777" w:rsidTr="006148E9">
        <w:trPr>
          <w:gridBefore w:val="1"/>
          <w:wBefore w:w="75" w:type="dxa"/>
          <w:trHeight w:val="290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0B39" w14:textId="77777777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AFF9A2D" w14:textId="269C4E91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9CB2" w14:textId="557EE7BE" w:rsidR="006148E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252A" w14:textId="008D406A" w:rsidR="006148E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0A78F" w14:textId="45ECD48F" w:rsidR="006148E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D09F" w14:textId="77777777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3C06" w14:textId="77777777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3B155" w14:textId="77777777" w:rsidR="006148E9" w:rsidRPr="00106009" w:rsidRDefault="006148E9" w:rsidP="006148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4D6F62D1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</w:t>
            </w:r>
            <w:proofErr w:type="spellStart"/>
            <w:r w:rsidRPr="006148E9">
              <w:rPr>
                <w:rFonts w:ascii="Arial" w:hAnsi="Arial" w:cs="Arial"/>
                <w:szCs w:val="20"/>
              </w:rPr>
              <w:t>Hillier</w:t>
            </w:r>
            <w:proofErr w:type="spellEnd"/>
            <w:r w:rsidRPr="006148E9">
              <w:rPr>
                <w:rFonts w:ascii="Arial" w:hAnsi="Arial" w:cs="Arial"/>
                <w:szCs w:val="20"/>
              </w:rPr>
              <w:t xml:space="preserve"> y Lieberman. Introducción a la Investigación de Operaciones. Ed. McGraw Hill, 5Ta Edición.</w:t>
            </w:r>
          </w:p>
          <w:p w14:paraId="452ED6A0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• Handy A. Taha. Investigación de operaciones. Ed. Pearson</w:t>
            </w:r>
            <w:proofErr w:type="gramStart"/>
            <w:r w:rsidRPr="006148E9">
              <w:rPr>
                <w:rFonts w:ascii="Arial" w:hAnsi="Arial" w:cs="Arial"/>
                <w:szCs w:val="20"/>
              </w:rPr>
              <w:t>,7</w:t>
            </w:r>
            <w:proofErr w:type="gramEnd"/>
            <w:r w:rsidRPr="006148E9">
              <w:rPr>
                <w:rFonts w:ascii="Arial" w:hAnsi="Arial" w:cs="Arial"/>
                <w:szCs w:val="20"/>
              </w:rPr>
              <w:t>ª Edición.</w:t>
            </w:r>
          </w:p>
          <w:p w14:paraId="30EC84C7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Juan Manuel Izar </w:t>
            </w:r>
            <w:proofErr w:type="spellStart"/>
            <w:r w:rsidRPr="006148E9">
              <w:rPr>
                <w:rFonts w:ascii="Arial" w:hAnsi="Arial" w:cs="Arial"/>
                <w:szCs w:val="20"/>
              </w:rPr>
              <w:t>Landeta</w:t>
            </w:r>
            <w:proofErr w:type="spellEnd"/>
            <w:r w:rsidRPr="006148E9">
              <w:rPr>
                <w:rFonts w:ascii="Arial" w:hAnsi="Arial" w:cs="Arial"/>
                <w:szCs w:val="20"/>
              </w:rPr>
              <w:t>. Investigación de operaciones. Ed. Trillas.</w:t>
            </w:r>
          </w:p>
          <w:p w14:paraId="1EEB8E80" w14:textId="7CAE9929" w:rsidR="0010600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 xml:space="preserve">• Charles  A. </w:t>
            </w:r>
            <w:proofErr w:type="spellStart"/>
            <w:r w:rsidRPr="006148E9">
              <w:rPr>
                <w:rFonts w:ascii="Arial" w:hAnsi="Arial" w:cs="Arial"/>
                <w:szCs w:val="20"/>
              </w:rPr>
              <w:t>Gallagher</w:t>
            </w:r>
            <w:proofErr w:type="spellEnd"/>
            <w:r w:rsidRPr="006148E9">
              <w:rPr>
                <w:rFonts w:ascii="Arial" w:hAnsi="Arial" w:cs="Arial"/>
                <w:szCs w:val="20"/>
              </w:rPr>
              <w:t xml:space="preserve">  y  </w:t>
            </w:r>
            <w:proofErr w:type="spellStart"/>
            <w:r w:rsidRPr="006148E9">
              <w:rPr>
                <w:rFonts w:ascii="Arial" w:hAnsi="Arial" w:cs="Arial"/>
                <w:szCs w:val="20"/>
              </w:rPr>
              <w:t>Hugh</w:t>
            </w:r>
            <w:proofErr w:type="spellEnd"/>
            <w:r w:rsidRPr="006148E9">
              <w:rPr>
                <w:rFonts w:ascii="Arial" w:hAnsi="Arial" w:cs="Arial"/>
                <w:szCs w:val="20"/>
              </w:rPr>
              <w:t xml:space="preserve">  J.  Watson. Métodos Cuantitativos  para  la  toma  de decisiones. Ed. McGraw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29A431D6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Laptop</w:t>
            </w:r>
          </w:p>
          <w:p w14:paraId="1B18B2AA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Pizarrón</w:t>
            </w:r>
          </w:p>
          <w:p w14:paraId="1D8AE805" w14:textId="77777777" w:rsidR="006148E9" w:rsidRPr="006148E9" w:rsidRDefault="006148E9" w:rsidP="006148E9">
            <w:pPr>
              <w:pStyle w:val="Sinespaciado"/>
              <w:rPr>
                <w:rFonts w:ascii="Arial" w:hAnsi="Arial" w:cs="Arial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Proyector</w:t>
            </w:r>
          </w:p>
          <w:p w14:paraId="0975D7C2" w14:textId="74F3CD7F" w:rsidR="0010600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148E9">
              <w:rPr>
                <w:rFonts w:ascii="Arial" w:hAnsi="Arial" w:cs="Arial"/>
                <w:szCs w:val="20"/>
              </w:rPr>
              <w:t>Practicas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2"/>
        <w:gridCol w:w="756"/>
        <w:gridCol w:w="757"/>
        <w:gridCol w:w="753"/>
        <w:gridCol w:w="757"/>
        <w:gridCol w:w="757"/>
        <w:gridCol w:w="746"/>
        <w:gridCol w:w="746"/>
        <w:gridCol w:w="747"/>
        <w:gridCol w:w="752"/>
        <w:gridCol w:w="752"/>
        <w:gridCol w:w="752"/>
        <w:gridCol w:w="752"/>
        <w:gridCol w:w="752"/>
        <w:gridCol w:w="752"/>
        <w:gridCol w:w="752"/>
      </w:tblGrid>
      <w:tr w:rsidR="00862CFC" w:rsidRPr="00862CFC" w14:paraId="5BE371E2" w14:textId="77777777" w:rsidTr="006148E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148E9" w:rsidRPr="00862CFC" w14:paraId="23032042" w14:textId="77777777" w:rsidTr="006148E9">
        <w:tc>
          <w:tcPr>
            <w:tcW w:w="961" w:type="dxa"/>
          </w:tcPr>
          <w:p w14:paraId="61B1CD54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56FCD37C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3C4A2CF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ES1</w:t>
            </w:r>
          </w:p>
        </w:tc>
        <w:tc>
          <w:tcPr>
            <w:tcW w:w="764" w:type="dxa"/>
          </w:tcPr>
          <w:p w14:paraId="373DBFA0" w14:textId="04ABCF4F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4E3CB96E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7B553D20" w14:textId="43C989EB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ES2</w:t>
            </w:r>
          </w:p>
        </w:tc>
        <w:tc>
          <w:tcPr>
            <w:tcW w:w="764" w:type="dxa"/>
          </w:tcPr>
          <w:p w14:paraId="201272DF" w14:textId="587D5011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2F5F75AC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8E9" w:rsidRPr="00862CFC" w14:paraId="372291F2" w14:textId="77777777" w:rsidTr="006148E9">
        <w:tc>
          <w:tcPr>
            <w:tcW w:w="961" w:type="dxa"/>
          </w:tcPr>
          <w:p w14:paraId="782651AA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8E9" w:rsidRPr="00862CFC" w14:paraId="577EFD0B" w14:textId="77777777" w:rsidTr="006148E9">
        <w:tc>
          <w:tcPr>
            <w:tcW w:w="961" w:type="dxa"/>
          </w:tcPr>
          <w:p w14:paraId="4DEFD3C5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6148E9" w:rsidRPr="00862CFC" w:rsidRDefault="006148E9" w:rsidP="006148E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56139D34" w:rsidR="00862CFC" w:rsidRPr="00862CFC" w:rsidRDefault="006148E9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proofErr w:type="spellStart"/>
      <w:r>
        <w:rPr>
          <w:rFonts w:ascii="Arial" w:hAnsi="Arial" w:cs="Arial"/>
          <w:sz w:val="20"/>
          <w:szCs w:val="20"/>
        </w:rPr>
        <w:t>MAyL</w:t>
      </w:r>
      <w:proofErr w:type="spellEnd"/>
      <w:r>
        <w:rPr>
          <w:rFonts w:ascii="Arial" w:hAnsi="Arial" w:cs="Arial"/>
          <w:sz w:val="20"/>
          <w:szCs w:val="20"/>
        </w:rPr>
        <w:t xml:space="preserve">. Jesús Daniel Contreras </w:t>
      </w:r>
      <w:proofErr w:type="spellStart"/>
      <w:r>
        <w:rPr>
          <w:rFonts w:ascii="Arial" w:hAnsi="Arial" w:cs="Arial"/>
          <w:sz w:val="20"/>
          <w:szCs w:val="20"/>
        </w:rPr>
        <w:t>Verastegui</w:t>
      </w:r>
      <w:proofErr w:type="spellEnd"/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695DA" w14:textId="77777777" w:rsidR="004D633B" w:rsidRDefault="004D633B" w:rsidP="00862CFC">
      <w:pPr>
        <w:spacing w:after="0" w:line="240" w:lineRule="auto"/>
      </w:pPr>
      <w:r>
        <w:separator/>
      </w:r>
    </w:p>
  </w:endnote>
  <w:endnote w:type="continuationSeparator" w:id="0">
    <w:p w14:paraId="79C14D6E" w14:textId="77777777" w:rsidR="004D633B" w:rsidRDefault="004D633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2BBEB" w14:textId="77777777" w:rsidR="004D633B" w:rsidRDefault="004D633B" w:rsidP="00862CFC">
      <w:pPr>
        <w:spacing w:after="0" w:line="240" w:lineRule="auto"/>
      </w:pPr>
      <w:r>
        <w:separator/>
      </w:r>
    </w:p>
  </w:footnote>
  <w:footnote w:type="continuationSeparator" w:id="0">
    <w:p w14:paraId="0C738ADC" w14:textId="77777777" w:rsidR="004D633B" w:rsidRDefault="004D633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93FBE"/>
    <w:rsid w:val="00320546"/>
    <w:rsid w:val="003576C5"/>
    <w:rsid w:val="00373659"/>
    <w:rsid w:val="004D633B"/>
    <w:rsid w:val="004F065B"/>
    <w:rsid w:val="005053AB"/>
    <w:rsid w:val="00536B92"/>
    <w:rsid w:val="005624BE"/>
    <w:rsid w:val="00593663"/>
    <w:rsid w:val="005A5854"/>
    <w:rsid w:val="006148E9"/>
    <w:rsid w:val="00744965"/>
    <w:rsid w:val="007A22EC"/>
    <w:rsid w:val="00824F18"/>
    <w:rsid w:val="00862CFC"/>
    <w:rsid w:val="00865C4A"/>
    <w:rsid w:val="008C7776"/>
    <w:rsid w:val="009038D0"/>
    <w:rsid w:val="009905D5"/>
    <w:rsid w:val="00992C3B"/>
    <w:rsid w:val="009F66CF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61FF6"/>
    <w:rsid w:val="00C83607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DCE34E6D-4A74-4CA2-8F2A-A8C5F3A5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3219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cristela</cp:lastModifiedBy>
  <cp:revision>2</cp:revision>
  <cp:lastPrinted>2016-01-11T15:55:00Z</cp:lastPrinted>
  <dcterms:created xsi:type="dcterms:W3CDTF">2017-10-16T22:53:00Z</dcterms:created>
  <dcterms:modified xsi:type="dcterms:W3CDTF">2017-10-16T22:53:00Z</dcterms:modified>
</cp:coreProperties>
</file>